
<file path=[Content_Types].xml><?xml version="1.0" encoding="utf-8"?>
<Types xmlns="http://schemas.openxmlformats.org/package/2006/content-types">
  <Default Extension="jpeg" ContentType="image/jpeg"/>
  <Default Extension="JPG" ContentType="image/.jpg"/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EA4C9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731010" cy="2167255"/>
            <wp:effectExtent l="0" t="0" r="6350" b="12065"/>
            <wp:docPr id="1" name="Picture 1" descr="Figure S1 Phytoplasma content in WPF and WP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igure S1 Phytoplasma content in WPF and WPFI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7B48C">
      <w:pPr>
        <w:jc w:val="center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 xml:space="preserve">Figure S1 Phytoplasma content in 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>WPF and WPFI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**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&lt;0.01</w:t>
      </w:r>
    </w:p>
    <w:p w14:paraId="12EE39C1">
      <w:pPr>
        <w:jc w:val="center"/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</w:pPr>
    </w:p>
    <w:p w14:paraId="73EDA982">
      <w:pPr>
        <w:jc w:val="center"/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  <w:drawing>
          <wp:inline distT="0" distB="0" distL="114300" distR="114300">
            <wp:extent cx="5273040" cy="1817370"/>
            <wp:effectExtent l="0" t="0" r="0" b="11430"/>
            <wp:docPr id="2" name="Picture 2" descr="Figure S2 Transcriptome sequencing results for P. fortunei infected with phytoplasma. (a) Distribution of mRNA read length. (b) Distribution of the number of ex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Figure S2 Transcriptome sequencing results for P. fortunei infected with phytoplasma. (a) Distribution of mRNA read length. (b) Distribution of the number of exon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F4535">
      <w:pPr>
        <w:jc w:val="center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>Figure S2 Transcriptome sequencing results for P. fortunei infected with phytoplasma. (a) Distribution of mRNA read length. (b) Distribution of the number of exons</w:t>
      </w:r>
    </w:p>
    <w:p w14:paraId="28ED0046">
      <w:pPr>
        <w:jc w:val="center"/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</w:pPr>
    </w:p>
    <w:p w14:paraId="0888EC59">
      <w:pPr>
        <w:jc w:val="center"/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</w:pPr>
    </w:p>
    <w:p w14:paraId="72ED1D2D">
      <w:pPr>
        <w:jc w:val="center"/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eastAsia="zh-CN"/>
        </w:rPr>
        <w:drawing>
          <wp:inline distT="0" distB="0" distL="114300" distR="114300">
            <wp:extent cx="5268595" cy="2465705"/>
            <wp:effectExtent l="0" t="0" r="4445" b="3175"/>
            <wp:docPr id="3" name="Picture 3" descr="Figure S3  MiRNAs in P. fortunei during the response to a phytoplasma infection. (a) Correlation analysis of six samples. (b) Enriched KEGG pathways among the 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Figure S3  MiRNAs in P. fortunei during the response to a phytoplasma infection. (a) Correlation analysis of six samples. (b) Enriched KEGG pathways among the t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A48BE">
      <w:pPr>
        <w:jc w:val="center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  <w:t>Figure S3  MiRNAs in P. fortunei during the response to a phytoplasma infection. (a) Correlation analysis of six samples. (b) Enriched KEGG pathways among the ta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C42A34"/>
    <w:rsid w:val="5B1B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313</Characters>
  <Lines>0</Lines>
  <Paragraphs>0</Paragraphs>
  <TotalTime>6</TotalTime>
  <ScaleCrop>false</ScaleCrop>
  <LinksUpToDate>false</LinksUpToDate>
  <CharactersWithSpaces>369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2026-05-15T02:04:00Z</dcterms:created>
  <dc:creator>TSP-COMPUTER-016</dc:creator>
  <cp:lastModifiedBy>Serena</cp:lastModifiedBy>
  <dcterms:modified xsi:type="dcterms:W3CDTF">2026-05-19T02:14:55Z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1033-12.1.0.26372</vt:lpwstr>
  </property>
  <property fmtid="{D5CDD505-2E9C-101B-9397-08002B2CF9AE}" pid="3" name="KSOTemplateDocerSaveRecord">
    <vt:lpwstr>eyJoZGlkIjoiYjJjOTQxYzhjODMyMDAzZmE0MDJkMWFkNmJlNDkwYTUiLCJ1c2VySWQiOiI4ODEzOTgxMDI2NDUwIn0=</vt:lpwstr>
  </property>
  <property fmtid="{D5CDD505-2E9C-101B-9397-08002B2CF9AE}" pid="4" name="ICV">
    <vt:lpwstr>8D3806AA79114EC7B612C503FE3A73C6_12</vt:lpwstr>
  </property>
</Properties>
</file>